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57"/>
        <w:gridCol w:w="48"/>
        <w:gridCol w:w="3372"/>
        <w:gridCol w:w="4805"/>
        <w:gridCol w:w="13"/>
      </w:tblGrid>
      <w:tr w:rsidR="00E76559" w14:paraId="67181FB0" w14:textId="77777777" w:rsidTr="0086727B">
        <w:trPr>
          <w:gridAfter w:val="1"/>
          <w:wAfter w:w="13" w:type="dxa"/>
          <w:cantSplit/>
          <w:trHeight w:val="576"/>
          <w:tblHeader/>
          <w:jc w:val="center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F90" w14:textId="77777777" w:rsidR="00E76559" w:rsidRDefault="00E7655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MTN-042/DELIVER PTID: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E91" w14:textId="77777777" w:rsidR="00E76559" w:rsidRDefault="00E7655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Interview Date:</w:t>
            </w:r>
          </w:p>
        </w:tc>
      </w:tr>
      <w:tr w:rsidR="00E76559" w14:paraId="383A025D" w14:textId="77777777" w:rsidTr="0086727B">
        <w:trPr>
          <w:gridAfter w:val="1"/>
          <w:wAfter w:w="13" w:type="dxa"/>
          <w:cantSplit/>
          <w:tblHeader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99ED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and Date </w:t>
            </w:r>
          </w:p>
          <w:p w14:paraId="3111DDA9" w14:textId="603A6036" w:rsidR="00E76559" w:rsidRDefault="00E7655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or N</w:t>
            </w:r>
            <w:r w:rsidR="00E3799D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797" w14:textId="77777777" w:rsidR="00E76559" w:rsidRDefault="00E76559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E76559" w14:paraId="644B47D7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47980B4" w14:textId="4173AF34" w:rsidR="00E76559" w:rsidRDefault="00A338B4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IDI </w:t>
            </w:r>
            <w:r w:rsidR="00E76559">
              <w:rPr>
                <w:rFonts w:asciiTheme="minorHAnsi" w:hAnsiTheme="minorHAnsi" w:cs="Arial"/>
                <w:b/>
                <w:sz w:val="20"/>
                <w:szCs w:val="20"/>
              </w:rPr>
              <w:t>Preparation</w:t>
            </w:r>
            <w:r w:rsidR="00250A9B">
              <w:rPr>
                <w:rFonts w:asciiTheme="minorHAnsi" w:hAnsiTheme="minorHAnsi" w:cs="Arial"/>
                <w:b/>
                <w:sz w:val="20"/>
                <w:szCs w:val="20"/>
              </w:rPr>
              <w:t xml:space="preserve"> (at least 1 day prior to IDI visit)</w:t>
            </w:r>
          </w:p>
        </w:tc>
      </w:tr>
      <w:tr w:rsidR="00E76559" w14:paraId="520449AD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3C4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95D0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 (mark one):</w:t>
            </w:r>
          </w:p>
          <w:p w14:paraId="0CFD54EF" w14:textId="77777777" w:rsidR="00E76559" w:rsidRPr="00E76559" w:rsidRDefault="00E76559" w:rsidP="00E76559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E76559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IDI: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randomized by SCHARP </w:t>
            </w:r>
          </w:p>
          <w:p w14:paraId="6DB01EC7" w14:textId="77777777" w:rsidR="00E76559" w:rsidRDefault="00E7655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76559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Special case IDI (SCIDI):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nominated by site and approved by QMT, </w:t>
            </w:r>
          </w:p>
          <w:p w14:paraId="582301AE" w14:textId="5D5C2A63" w:rsidR="00E76559" w:rsidRPr="00105F72" w:rsidRDefault="00E76559" w:rsidP="00E76559">
            <w:pPr>
              <w:keepLines/>
              <w:numPr>
                <w:ilvl w:val="0"/>
                <w:numId w:val="13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Print/file email confirming QMT approval </w:t>
            </w:r>
          </w:p>
        </w:tc>
      </w:tr>
      <w:tr w:rsidR="00E76559" w14:paraId="4994D8AC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70B" w14:textId="77777777" w:rsidR="00E76559" w:rsidRPr="00C0361A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8A1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Confirm and document eligibility for designated interview type:</w:t>
            </w:r>
          </w:p>
          <w:p w14:paraId="5E5644D7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Randomized IDIs: </w:t>
            </w:r>
          </w:p>
          <w:p w14:paraId="298CC082" w14:textId="34233F4F" w:rsidR="00E76559" w:rsidRPr="00B83734" w:rsidRDefault="00E76559" w:rsidP="00B83734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Enrolled in DELIVER</w:t>
            </w:r>
          </w:p>
          <w:p w14:paraId="49E23B92" w14:textId="25229D80" w:rsidR="008C1A96" w:rsidRPr="007F4ABB" w:rsidRDefault="00E76559" w:rsidP="007F4ABB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Random</w:t>
            </w:r>
            <w:r w:rsidR="006D3088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ized to IDI per IDI Randomization Log </w:t>
            </w:r>
          </w:p>
          <w:p w14:paraId="5F4A3352" w14:textId="75E074EA" w:rsidR="00C75863" w:rsidRPr="00C0361A" w:rsidRDefault="008C1A96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If in Cohort 1, participant ha</w:t>
            </w:r>
            <w:r w:rsidR="00250A9B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d product dispensed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at least 5 days</w:t>
            </w:r>
            <w:r w:rsidR="00250A9B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before IDI visit</w:t>
            </w:r>
            <w:r w:rsidR="00C75863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 w:rsidR="00C75863" w:rsidRPr="00DC168A">
              <w:rPr>
                <w:rFonts w:asciiTheme="minorHAnsi" w:hAnsiTheme="minorHAnsi" w:cstheme="majorBidi"/>
                <w:i/>
                <w:sz w:val="20"/>
                <w:szCs w:val="20"/>
                <w:u w:val="single"/>
              </w:rPr>
              <w:t>or</w:t>
            </w:r>
          </w:p>
          <w:p w14:paraId="20B70320" w14:textId="3EF2221B" w:rsidR="008C1A96" w:rsidRPr="00DC168A" w:rsidRDefault="00C75863" w:rsidP="00DC168A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i</w:t>
            </w:r>
            <w:r w:rsidR="008C1A96" w:rsidRPr="00DC168A">
              <w:rPr>
                <w:rFonts w:asciiTheme="minorHAnsi" w:hAnsiTheme="minorHAnsi" w:cstheme="majorBidi"/>
                <w:i/>
                <w:sz w:val="20"/>
                <w:szCs w:val="20"/>
              </w:rPr>
              <w:t>f in Cohorts 2-4, participant ha</w:t>
            </w:r>
            <w:r w:rsidR="00250A9B" w:rsidRPr="00DC168A">
              <w:rPr>
                <w:rFonts w:asciiTheme="minorHAnsi" w:hAnsiTheme="minorHAnsi" w:cstheme="majorBidi"/>
                <w:i/>
                <w:sz w:val="20"/>
                <w:szCs w:val="20"/>
              </w:rPr>
              <w:t>d</w:t>
            </w:r>
            <w:r w:rsidR="008C1A96" w:rsidRPr="00DC168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product </w:t>
            </w:r>
            <w:r w:rsidR="00250A9B" w:rsidRPr="00DC168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dispensed </w:t>
            </w:r>
            <w:r w:rsidR="008C1A96" w:rsidRPr="00DC168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at least 2 weeks </w:t>
            </w:r>
            <w:r w:rsidR="00250A9B" w:rsidRPr="00DC168A">
              <w:rPr>
                <w:rFonts w:asciiTheme="minorHAnsi" w:hAnsiTheme="minorHAnsi" w:cstheme="majorBidi"/>
                <w:i/>
                <w:sz w:val="20"/>
                <w:szCs w:val="20"/>
              </w:rPr>
              <w:t>before IDI visit</w:t>
            </w:r>
          </w:p>
          <w:p w14:paraId="78ECD19C" w14:textId="685D872B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Does not have any condition for exclusion per </w:t>
            </w:r>
            <w:proofErr w:type="spellStart"/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IoR</w:t>
            </w:r>
            <w:proofErr w:type="spellEnd"/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discretion</w:t>
            </w:r>
            <w:r w:rsidR="005311BF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[participants who seroconvert or experience other adverse outcomes should be discussed </w:t>
            </w:r>
            <w:r w:rsidR="007F2AE0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on a case-by-case basis </w:t>
            </w:r>
            <w:r w:rsidR="005311BF">
              <w:rPr>
                <w:rFonts w:asciiTheme="minorHAnsi" w:hAnsiTheme="minorHAnsi" w:cstheme="majorBidi"/>
                <w:i/>
                <w:sz w:val="20"/>
                <w:szCs w:val="20"/>
              </w:rPr>
              <w:t>with the Management Team.]</w:t>
            </w:r>
          </w:p>
          <w:p w14:paraId="43A38028" w14:textId="77777777" w:rsidR="007F4ABB" w:rsidRPr="007F4ABB" w:rsidRDefault="00FC2555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Verbally a</w:t>
            </w:r>
            <w:r w:rsidR="00E76559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greed to participate in IDI</w:t>
            </w:r>
            <w:r w:rsidR="0086727B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during previous visit(s) or during phone contact</w:t>
            </w:r>
          </w:p>
          <w:p w14:paraId="11674437" w14:textId="77777777" w:rsidR="00E76559" w:rsidRPr="00C0361A" w:rsidRDefault="00E76559" w:rsidP="00E76559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41B0B784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For SCIDI:</w:t>
            </w:r>
          </w:p>
          <w:p w14:paraId="0C1AF494" w14:textId="77777777" w:rsidR="00643F0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Enrolled in DELIVER</w:t>
            </w:r>
          </w:p>
          <w:p w14:paraId="162A5FC1" w14:textId="435AC3EB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Confirmed eligible for SCIDI by QMT</w:t>
            </w:r>
          </w:p>
          <w:p w14:paraId="72A83624" w14:textId="77777777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Not a randomized IDI participant</w:t>
            </w:r>
          </w:p>
          <w:p w14:paraId="5CD88D3E" w14:textId="33F6D1F5" w:rsidR="00B90661" w:rsidRPr="007F4ABB" w:rsidRDefault="00B90661" w:rsidP="00B9066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Verbally agreed to participate in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SC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IDI during previous visit(s) or during phone contact</w:t>
            </w:r>
          </w:p>
          <w:p w14:paraId="2CD425F9" w14:textId="050C7AF8" w:rsidR="00E76559" w:rsidRDefault="00E76559" w:rsidP="00E76559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4AD6224F" w14:textId="1A0393A6" w:rsidR="00B345B9" w:rsidRPr="00F72F03" w:rsidRDefault="00B345B9" w:rsidP="00F72F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Mark final determination of eligibility for interview:</w:t>
            </w:r>
          </w:p>
          <w:p w14:paraId="61C18557" w14:textId="77777777" w:rsidR="00E76559" w:rsidRPr="00C0361A" w:rsidRDefault="00E76559" w:rsidP="008C1A96">
            <w:pPr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  <w:r w:rsidR="00A338B4"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 xml:space="preserve"> </w:t>
            </w:r>
            <w:r w:rsidR="00A338B4"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checklist </w:t>
            </w:r>
          </w:p>
          <w:p w14:paraId="299B6595" w14:textId="3B9792AC" w:rsidR="00E76559" w:rsidRPr="00105F72" w:rsidRDefault="00E76559" w:rsidP="00105F72">
            <w:pPr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C0361A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STOP</w:t>
            </w:r>
            <w:r w:rsidR="00A338B4"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</w:t>
            </w:r>
            <w:r w:rsidR="00A338B4" w:rsidRPr="00C0361A">
              <w:rPr>
                <w:rFonts w:asciiTheme="minorHAnsi" w:hAnsiTheme="minorHAnsi" w:cstheme="majorBidi"/>
                <w:sz w:val="20"/>
                <w:szCs w:val="20"/>
              </w:rPr>
              <w:t>and document on QPL</w:t>
            </w:r>
          </w:p>
        </w:tc>
      </w:tr>
      <w:tr w:rsidR="00E76559" w14:paraId="65A5057C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A0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6C8" w14:textId="77777777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Audio-recorder checked (power supply, extra batteries, etc.)</w:t>
            </w:r>
          </w:p>
        </w:tc>
      </w:tr>
      <w:tr w:rsidR="00E76559" w14:paraId="67DB91B1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0C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65A" w14:textId="26284803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 at least one day before IDI.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 xml:space="preserve"> (Contact and attempted contact with participant recorded in chart notes</w:t>
            </w:r>
            <w:r w:rsidR="00754B0B">
              <w:rPr>
                <w:rFonts w:asciiTheme="minorHAnsi" w:hAnsiTheme="minorHAnsi" w:cstheme="majorBidi"/>
                <w:sz w:val="20"/>
                <w:szCs w:val="20"/>
              </w:rPr>
              <w:t xml:space="preserve"> or other site-specific contact log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E76559" w14:paraId="3F87E847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994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5BF" w14:textId="7C0B6439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</w:t>
            </w:r>
            <w:r w:rsidR="00CF515C">
              <w:rPr>
                <w:rFonts w:asciiTheme="minorHAnsi" w:hAnsiTheme="minorHAnsi" w:cstheme="majorBidi"/>
                <w:sz w:val="20"/>
                <w:szCs w:val="20"/>
              </w:rPr>
              <w:t xml:space="preserve"> audio recorder,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IDI guide, refreshments (if applicable), and reimbursement</w:t>
            </w:r>
          </w:p>
        </w:tc>
      </w:tr>
      <w:tr w:rsidR="00E76559" w14:paraId="366E83E5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81A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8542" w14:textId="77777777" w:rsidR="00E76559" w:rsidRPr="00A338B4" w:rsidRDefault="00E76559" w:rsidP="00A338B4">
            <w:pPr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Review participant’s </w:t>
            </w:r>
            <w:r w:rsidR="00A338B4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product assignment to determine which questions will be asked from the IDI guide: </w:t>
            </w:r>
          </w:p>
          <w:p w14:paraId="32DFF976" w14:textId="725F632B" w:rsidR="00E76559" w:rsidRDefault="00E7655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Oral </w:t>
            </w:r>
            <w:r w:rsidR="00F0338B">
              <w:rPr>
                <w:rFonts w:asciiTheme="minorHAnsi" w:hAnsiTheme="minorHAnsi" w:cstheme="majorBidi"/>
                <w:sz w:val="20"/>
                <w:szCs w:val="20"/>
              </w:rPr>
              <w:t>Truvada</w:t>
            </w:r>
          </w:p>
          <w:p w14:paraId="113B9923" w14:textId="1FB27CBF" w:rsidR="00E76559" w:rsidRPr="00105F72" w:rsidRDefault="00E76559" w:rsidP="00A338B4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56"/>
                <w:tab w:val="left" w:pos="5400"/>
              </w:tabs>
              <w:spacing w:line="276" w:lineRule="auto"/>
              <w:ind w:left="318" w:hanging="32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DPV Ring</w:t>
            </w:r>
          </w:p>
        </w:tc>
      </w:tr>
      <w:tr w:rsidR="00E76559" w14:paraId="0AE0AC29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C6BA2A" w14:textId="77777777" w:rsidR="00E76559" w:rsidRDefault="00E765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E76559" w14:paraId="4FB1997C" w14:textId="77777777" w:rsidTr="001302AE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EA2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076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Confirm participant identity per site SOPs</w:t>
            </w:r>
          </w:p>
        </w:tc>
      </w:tr>
      <w:tr w:rsidR="00250A9B" w14:paraId="51FDF187" w14:textId="77777777" w:rsidTr="001302AE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039" w14:textId="77777777" w:rsidR="00250A9B" w:rsidRDefault="00250A9B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D3D" w14:textId="7C76D217" w:rsidR="00250A9B" w:rsidRPr="00FC2555" w:rsidRDefault="00250A9B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eligibility criteria above </w:t>
            </w:r>
            <w:r w:rsidR="005F3EAE">
              <w:rPr>
                <w:rFonts w:asciiTheme="minorHAnsi" w:hAnsiTheme="minorHAnsi" w:cstheme="majorBidi"/>
                <w:sz w:val="20"/>
                <w:szCs w:val="20"/>
              </w:rPr>
              <w:t xml:space="preserve">to ensure it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is still accurate </w:t>
            </w:r>
            <w:r w:rsidR="00FC2555">
              <w:rPr>
                <w:rFonts w:asciiTheme="minorHAnsi" w:hAnsiTheme="minorHAnsi" w:cstheme="majorBidi"/>
                <w:sz w:val="20"/>
                <w:szCs w:val="20"/>
              </w:rPr>
              <w:t xml:space="preserve">(if no longer eligible </w:t>
            </w:r>
            <w:r w:rsidR="00FC2555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="00FC2555" w:rsidRPr="00522001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</w:t>
            </w:r>
            <w:r w:rsidR="00FC2555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P</w:t>
            </w:r>
            <w:r w:rsidR="00FC2555"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E76559" w14:paraId="1362570F" w14:textId="77777777" w:rsidTr="001302AE">
        <w:trPr>
          <w:gridAfter w:val="1"/>
          <w:wAfter w:w="13" w:type="dxa"/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562" w14:textId="77777777" w:rsidR="00E76559" w:rsidRDefault="00E76559" w:rsidP="001302AE">
            <w:pPr>
              <w:keepLines/>
              <w:spacing w:line="276" w:lineRule="auto"/>
              <w:ind w:right="-3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57E" w14:textId="4E80C0ED" w:rsidR="00E3799D" w:rsidRDefault="00E76559" w:rsidP="00E3799D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</w:t>
            </w:r>
            <w:r w:rsidR="00250A9B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and confirm willingness to participate</w:t>
            </w:r>
            <w:r w:rsidR="009C7965"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 xml:space="preserve"> in the IDI</w:t>
            </w: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. 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786BF246" w14:textId="75A6909E" w:rsidR="00E3799D" w:rsidRPr="005D3509" w:rsidRDefault="00E76559" w:rsidP="005D350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5D3509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</w:p>
          <w:p w14:paraId="5C0DAAE7" w14:textId="24A90D10" w:rsidR="00E76559" w:rsidRPr="005D3509" w:rsidRDefault="00E76559" w:rsidP="005D3509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STOP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</w:t>
            </w:r>
            <w:r w:rsidR="0086727B"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’s 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file </w:t>
            </w:r>
            <w:r w:rsidR="0086727B"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and QPL. </w:t>
            </w:r>
          </w:p>
        </w:tc>
      </w:tr>
      <w:tr w:rsidR="00E76559" w14:paraId="58C2E541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695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B71" w14:textId="77777777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30AC6BAC" w14:textId="77777777" w:rsidR="00E76559" w:rsidRDefault="00E76559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61AB755B" w14:textId="77777777" w:rsidR="00E76559" w:rsidRDefault="00E76559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9C21607" w14:textId="77777777" w:rsidR="00E76559" w:rsidRDefault="00E76559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75D3C895" w14:textId="77777777" w:rsidR="00E76559" w:rsidRDefault="00E76559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Cell phone off or on silent</w:t>
            </w:r>
          </w:p>
        </w:tc>
      </w:tr>
      <w:tr w:rsidR="00E76559" w14:paraId="53A37CB3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275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629" w14:textId="1329CAA1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Administer the IDI guide</w:t>
            </w:r>
            <w:r w:rsidR="0086727B">
              <w:rPr>
                <w:rFonts w:asciiTheme="minorHAnsi" w:hAnsiTheme="minorHAnsi" w:cstheme="majorBidi"/>
                <w:sz w:val="20"/>
                <w:szCs w:val="20"/>
              </w:rPr>
              <w:t>, following guidelines outlined in SSP</w:t>
            </w:r>
            <w:r w:rsidR="00C75863">
              <w:rPr>
                <w:rFonts w:asciiTheme="minorHAnsi" w:hAnsiTheme="minorHAnsi" w:cstheme="majorBidi"/>
                <w:sz w:val="20"/>
                <w:szCs w:val="20"/>
              </w:rPr>
              <w:t xml:space="preserve"> Section 14 Qualitative Component</w:t>
            </w:r>
          </w:p>
        </w:tc>
      </w:tr>
      <w:tr w:rsidR="00E76559" w14:paraId="4B7ACFE1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5A5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53E2" w14:textId="77777777" w:rsidR="00E76559" w:rsidRDefault="00E76559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E76559" w14:paraId="456B6113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85CF38" w14:textId="77777777" w:rsidR="00E76559" w:rsidRDefault="00E76559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E76559" w14:paraId="5A58CDEC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58D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F48" w14:textId="76F251F3" w:rsidR="00E76559" w:rsidRDefault="00691C3A" w:rsidP="00691C3A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Document and r</w:t>
            </w:r>
            <w:r w:rsidR="00E76559">
              <w:rPr>
                <w:rFonts w:asciiTheme="minorHAnsi" w:hAnsiTheme="minorHAnsi" w:cstheme="majorBidi"/>
                <w:sz w:val="20"/>
                <w:szCs w:val="20"/>
              </w:rPr>
              <w:t xml:space="preserve">efer any reported social harms, adverse events, or protocol deviations to </w:t>
            </w:r>
            <w:r w:rsidR="00CF515C">
              <w:rPr>
                <w:rFonts w:asciiTheme="minorHAnsi" w:hAnsiTheme="minorHAnsi" w:cstheme="majorBidi"/>
                <w:sz w:val="20"/>
                <w:szCs w:val="20"/>
              </w:rPr>
              <w:t>DELIVER</w:t>
            </w:r>
            <w:r w:rsidR="00E76559">
              <w:rPr>
                <w:rFonts w:asciiTheme="minorHAnsi" w:hAnsiTheme="minorHAnsi" w:cstheme="majorBidi"/>
                <w:sz w:val="20"/>
                <w:szCs w:val="20"/>
              </w:rPr>
              <w:t xml:space="preserve"> counselor or clinic staff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 xml:space="preserve"> per site SOP</w:t>
            </w:r>
          </w:p>
        </w:tc>
      </w:tr>
      <w:tr w:rsidR="00E76559" w14:paraId="490F9E1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EBD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0A2" w14:textId="4ACD3BA6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</w:t>
            </w:r>
            <w:r w:rsidR="0086727B">
              <w:rPr>
                <w:rFonts w:asciiTheme="minorHAnsi" w:hAnsiTheme="minorHAnsi" w:cstheme="majorBidi"/>
                <w:sz w:val="20"/>
                <w:szCs w:val="20"/>
              </w:rPr>
              <w:t xml:space="preserve">Upload audio to hard drive and copy to CD.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Label audio CD appropriately. </w:t>
            </w:r>
          </w:p>
          <w:p w14:paraId="2244E4A1" w14:textId="77777777" w:rsidR="00E76559" w:rsidRDefault="00E76559">
            <w:pPr>
              <w:rPr>
                <w:rFonts w:asciiTheme="minorHAnsi" w:hAnsiTheme="minorHAnsi"/>
                <w:sz w:val="20"/>
                <w:szCs w:val="20"/>
              </w:rPr>
            </w:pPr>
            <w:commentRangeStart w:id="0"/>
            <w:r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  <w:commentRangeEnd w:id="0"/>
            <w:r w:rsidR="00B5304B">
              <w:rPr>
                <w:rStyle w:val="CommentReference"/>
              </w:rPr>
              <w:commentReference w:id="0"/>
            </w:r>
          </w:p>
          <w:p w14:paraId="4803BCCB" w14:textId="77777777" w:rsidR="00E76559" w:rsidRDefault="00E76559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526E9C73" w14:textId="66F48809" w:rsidR="00E76559" w:rsidRDefault="00E76559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Listen to the beginning of the audio file, (make sure it’s the right PTID and interview) and spot check middle and end to make sure it’s complete</w:t>
            </w:r>
          </w:p>
          <w:p w14:paraId="7874C669" w14:textId="77777777" w:rsidR="00E76559" w:rsidRDefault="00E76559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32EC93CB" w14:textId="10381D91" w:rsidR="00E76559" w:rsidRDefault="00E76559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writing on the CD, should include filename (PTID, type of file, date of interview, etc.), the word “certified” and it should be initialed and dated</w:t>
            </w:r>
          </w:p>
          <w:p w14:paraId="38EEB115" w14:textId="4E13B69B" w:rsidR="00E76559" w:rsidRDefault="00E76559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</w:t>
            </w:r>
          </w:p>
          <w:p w14:paraId="6116A274" w14:textId="10D6E713" w:rsidR="00E76559" w:rsidRDefault="00E76559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Store in participant’s file</w:t>
            </w:r>
          </w:p>
          <w:p w14:paraId="380C4068" w14:textId="0FCE96A4" w:rsidR="001302AE" w:rsidRPr="00B5304B" w:rsidRDefault="00B5304B" w:rsidP="00B5304B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 the file name and location of each hard drive audio file</w:t>
            </w:r>
          </w:p>
        </w:tc>
      </w:tr>
      <w:tr w:rsidR="00E76559" w14:paraId="34FB925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6B1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94D" w14:textId="77777777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 and store in participant’s file</w:t>
            </w:r>
          </w:p>
        </w:tc>
      </w:tr>
      <w:tr w:rsidR="00E76559" w14:paraId="00FC0AD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09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90FE" w14:textId="4C662F36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</w:t>
            </w:r>
            <w:r w:rsidR="0086727B">
              <w:rPr>
                <w:rFonts w:asciiTheme="minorHAnsi" w:hAnsiTheme="minorHAnsi" w:cstheme="majorBidi"/>
                <w:sz w:val="20"/>
                <w:szCs w:val="20"/>
              </w:rPr>
              <w:t xml:space="preserve"> (within 24 hours)</w:t>
            </w:r>
          </w:p>
        </w:tc>
      </w:tr>
      <w:tr w:rsidR="00E76559" w14:paraId="094E61B0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DCF" w14:textId="77777777" w:rsidR="00E76559" w:rsidRDefault="00E76559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95A2" w14:textId="77777777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Update QPL with date of IDI</w:t>
            </w:r>
          </w:p>
        </w:tc>
      </w:tr>
      <w:tr w:rsidR="00E76559" w14:paraId="71FFBC53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DE7" w14:textId="77777777" w:rsidR="00E76559" w:rsidRDefault="00E7655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524D2CE6" w14:textId="77777777" w:rsidR="00E76559" w:rsidRDefault="00E7655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5C0666B" w14:textId="77777777" w:rsidR="00E76559" w:rsidRDefault="00E7655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126022A" w14:textId="77777777" w:rsidR="00E76559" w:rsidRDefault="00E7655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5A2E09A8" w14:textId="77777777" w:rsidR="00E76559" w:rsidRDefault="00E7655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3354A5F" w14:textId="77777777" w:rsidR="00E76559" w:rsidRDefault="00E7655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E72FE46" w14:textId="22589B17" w:rsidR="00E76559" w:rsidRDefault="00E76559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105F72">
              <w:rPr>
                <w:rFonts w:asciiTheme="minorHAnsi" w:hAnsiTheme="minorHAnsi" w:cs="Arial"/>
                <w:sz w:val="20"/>
                <w:szCs w:val="20"/>
              </w:rPr>
              <w:t>_________________________________</w:t>
            </w:r>
            <w:bookmarkStart w:id="1" w:name="_GoBack"/>
            <w:bookmarkEnd w:id="1"/>
          </w:p>
          <w:p w14:paraId="2F2D2561" w14:textId="77777777" w:rsidR="00E76559" w:rsidRDefault="00E76559" w:rsidP="00105F72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FFB550" w14:textId="77777777" w:rsidR="00E86F60" w:rsidRDefault="00E86F60" w:rsidP="00105F72"/>
    <w:sectPr w:rsidR="00E86F60" w:rsidSect="00105F72">
      <w:headerReference w:type="default" r:id="rId13"/>
      <w:footerReference w:type="default" r:id="rId14"/>
      <w:pgSz w:w="12240" w:h="15840"/>
      <w:pgMar w:top="1231" w:right="1440" w:bottom="1440" w:left="1440" w:header="720" w:footer="511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yan, Julia" w:date="2019-10-15T16:55:00Z" w:initials="RJ">
    <w:p w14:paraId="017EA0F8" w14:textId="4E2CEFD6" w:rsidR="00B5304B" w:rsidRDefault="00B5304B">
      <w:pPr>
        <w:pStyle w:val="CommentText"/>
      </w:pPr>
      <w:r>
        <w:rPr>
          <w:rStyle w:val="CommentReference"/>
        </w:rPr>
        <w:annotationRef/>
      </w:r>
      <w:r w:rsidR="004277EC" w:rsidRPr="004277EC">
        <w:rPr>
          <w:b/>
          <w:bCs/>
        </w:rPr>
        <w:t>Note to sites</w:t>
      </w:r>
      <w:r w:rsidR="004277EC">
        <w:t>:</w:t>
      </w:r>
      <w:r>
        <w:t xml:space="preserve"> this process is already documented in the SSP</w:t>
      </w:r>
      <w:r w:rsidR="004277EC">
        <w:t xml:space="preserve"> (Section 14)</w:t>
      </w:r>
      <w:r>
        <w:t>. You can choose to delete this section</w:t>
      </w:r>
      <w:r w:rsidR="004277EC">
        <w:t xml:space="preserve"> from your SOP</w:t>
      </w:r>
      <w:r>
        <w:t xml:space="preserve"> and refer </w:t>
      </w:r>
      <w:r w:rsidR="004277EC">
        <w:t xml:space="preserve">instead </w:t>
      </w:r>
      <w:r>
        <w:t>to SSP, or keep it here for your reference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7EA0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EA0F8" w16cid:durableId="215078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A7905" w14:textId="77777777" w:rsidR="00A53D20" w:rsidRDefault="00A53D20" w:rsidP="0086727B">
      <w:r>
        <w:separator/>
      </w:r>
    </w:p>
  </w:endnote>
  <w:endnote w:type="continuationSeparator" w:id="0">
    <w:p w14:paraId="718DE065" w14:textId="77777777" w:rsidR="00A53D20" w:rsidRDefault="00A53D20" w:rsidP="008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A186" w14:textId="6FFEBED2" w:rsidR="00AD3D15" w:rsidRPr="00C2530F" w:rsidRDefault="00AD3D15">
    <w:pPr>
      <w:pStyle w:val="Footer"/>
      <w:rPr>
        <w:rFonts w:asciiTheme="majorHAnsi" w:hAnsiTheme="majorHAnsi" w:cstheme="majorHAnsi"/>
      </w:rPr>
    </w:pPr>
    <w:r w:rsidRPr="00C2530F">
      <w:rPr>
        <w:rFonts w:asciiTheme="majorHAnsi" w:hAnsiTheme="majorHAnsi" w:cstheme="majorHAnsi"/>
      </w:rPr>
      <w:t>MTN-042 IDI Visit Checklist</w:t>
    </w:r>
    <w:r w:rsidR="00825CB8">
      <w:rPr>
        <w:rFonts w:asciiTheme="majorHAnsi" w:hAnsiTheme="majorHAnsi" w:cstheme="majorHAnsi"/>
      </w:rPr>
      <w:t xml:space="preserve"> Template</w:t>
    </w:r>
    <w:r w:rsidRPr="00C2530F">
      <w:rPr>
        <w:rFonts w:asciiTheme="majorHAnsi" w:hAnsiTheme="majorHAnsi" w:cstheme="majorHAnsi"/>
      </w:rPr>
      <w:t>, v</w:t>
    </w:r>
    <w:r w:rsidR="00B5304B">
      <w:rPr>
        <w:rFonts w:asciiTheme="majorHAnsi" w:hAnsiTheme="majorHAnsi" w:cstheme="majorHAnsi"/>
      </w:rPr>
      <w:t>1.0</w:t>
    </w:r>
    <w:r w:rsidRPr="00C2530F">
      <w:rPr>
        <w:rFonts w:asciiTheme="majorHAnsi" w:hAnsiTheme="majorHAnsi" w:cstheme="majorHAnsi"/>
      </w:rPr>
      <w:t>, 1</w:t>
    </w:r>
    <w:r w:rsidR="00B5304B">
      <w:rPr>
        <w:rFonts w:asciiTheme="majorHAnsi" w:hAnsiTheme="majorHAnsi" w:cstheme="majorHAnsi"/>
      </w:rPr>
      <w:t>5</w:t>
    </w:r>
    <w:r w:rsidRPr="00C2530F">
      <w:rPr>
        <w:rFonts w:asciiTheme="majorHAnsi" w:hAnsiTheme="majorHAnsi" w:cstheme="majorHAnsi"/>
      </w:rPr>
      <w:t>OCT2019</w:t>
    </w:r>
    <w:r w:rsidRPr="00C2530F">
      <w:rPr>
        <w:rFonts w:asciiTheme="majorHAnsi" w:hAnsiTheme="majorHAnsi" w:cstheme="majorHAnsi"/>
      </w:rPr>
      <w:ptab w:relativeTo="margin" w:alignment="right" w:leader="none"/>
    </w:r>
    <w:r w:rsidRPr="00C2530F">
      <w:rPr>
        <w:rFonts w:asciiTheme="majorHAnsi" w:hAnsiTheme="majorHAnsi" w:cstheme="majorHAnsi"/>
      </w:rPr>
      <w:t xml:space="preserve">Page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PAGE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 w:rsidRPr="00C2530F">
      <w:rPr>
        <w:rFonts w:asciiTheme="majorHAnsi" w:hAnsiTheme="majorHAnsi" w:cstheme="majorHAnsi"/>
        <w:b/>
        <w:bCs/>
        <w:noProof/>
      </w:rPr>
      <w:t>1</w:t>
    </w:r>
    <w:r w:rsidRPr="00C2530F">
      <w:rPr>
        <w:rFonts w:asciiTheme="majorHAnsi" w:hAnsiTheme="majorHAnsi" w:cstheme="majorHAnsi"/>
        <w:b/>
        <w:bCs/>
      </w:rPr>
      <w:fldChar w:fldCharType="end"/>
    </w:r>
    <w:r w:rsidRPr="00C2530F">
      <w:rPr>
        <w:rFonts w:asciiTheme="majorHAnsi" w:hAnsiTheme="majorHAnsi" w:cstheme="majorHAnsi"/>
      </w:rPr>
      <w:t xml:space="preserve"> of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NUMPAGES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 w:rsidRPr="00C2530F">
      <w:rPr>
        <w:rFonts w:asciiTheme="majorHAnsi" w:hAnsiTheme="majorHAnsi" w:cstheme="majorHAnsi"/>
        <w:b/>
        <w:bCs/>
        <w:noProof/>
      </w:rPr>
      <w:t>2</w:t>
    </w:r>
    <w:r w:rsidRPr="00C2530F">
      <w:rPr>
        <w:rFonts w:asciiTheme="majorHAnsi" w:hAnsiTheme="majorHAnsi" w:cs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42EE" w14:textId="77777777" w:rsidR="00A53D20" w:rsidRDefault="00A53D20" w:rsidP="0086727B">
      <w:r>
        <w:separator/>
      </w:r>
    </w:p>
  </w:footnote>
  <w:footnote w:type="continuationSeparator" w:id="0">
    <w:p w14:paraId="47B52196" w14:textId="77777777" w:rsidR="00A53D20" w:rsidRDefault="00A53D20" w:rsidP="0086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5565" w14:textId="6FF49ABC" w:rsidR="00870941" w:rsidRPr="00870941" w:rsidRDefault="00870941">
    <w:pPr>
      <w:pStyle w:val="Header"/>
      <w:rPr>
        <w:rFonts w:asciiTheme="majorHAnsi" w:hAnsiTheme="majorHAnsi" w:cstheme="majorHAnsi"/>
      </w:rPr>
    </w:pPr>
    <w:r w:rsidRPr="00870941">
      <w:rPr>
        <w:rFonts w:asciiTheme="majorHAnsi" w:hAnsiTheme="majorHAnsi" w:cstheme="majorHAnsi"/>
        <w:color w:val="FF0000"/>
      </w:rPr>
      <w:t xml:space="preserve">SITE </w:t>
    </w:r>
    <w:r w:rsidRPr="00870941">
      <w:rPr>
        <w:rFonts w:asciiTheme="majorHAnsi" w:hAnsiTheme="majorHAnsi" w:cstheme="majorHAnsi"/>
      </w:rPr>
      <w:t xml:space="preserve">MTN-042 Qualitative Interview (IDI)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CFD"/>
    <w:multiLevelType w:val="hybridMultilevel"/>
    <w:tmpl w:val="9F644458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5CF"/>
    <w:multiLevelType w:val="hybridMultilevel"/>
    <w:tmpl w:val="0366AAEE"/>
    <w:lvl w:ilvl="0" w:tplc="86E0D802">
      <w:numFmt w:val="bullet"/>
      <w:lvlText w:val="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9D4020"/>
    <w:multiLevelType w:val="hybridMultilevel"/>
    <w:tmpl w:val="0F42B51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6F5"/>
    <w:multiLevelType w:val="hybridMultilevel"/>
    <w:tmpl w:val="9620DC1C"/>
    <w:lvl w:ilvl="0" w:tplc="4A226E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50F"/>
    <w:multiLevelType w:val="hybridMultilevel"/>
    <w:tmpl w:val="F32476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0" w15:restartNumberingAfterBreak="0">
    <w:nsid w:val="747D2439"/>
    <w:multiLevelType w:val="hybridMultilevel"/>
    <w:tmpl w:val="8C38BE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6E20100"/>
    <w:multiLevelType w:val="hybridMultilevel"/>
    <w:tmpl w:val="1578FD9A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7C7F56D7"/>
    <w:multiLevelType w:val="singleLevel"/>
    <w:tmpl w:val="C60A2510"/>
    <w:lvl w:ilvl="0">
      <w:start w:val="1"/>
      <w:numFmt w:val="bullet"/>
      <w:pStyle w:val="level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an, Julia">
    <w15:presenceInfo w15:providerId="AD" w15:userId="S::jhryan@rti.org::218938fb-fe26-4008-9de5-56f07fa28b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9"/>
    <w:rsid w:val="00002BE7"/>
    <w:rsid w:val="000A52E6"/>
    <w:rsid w:val="000E6070"/>
    <w:rsid w:val="00105F72"/>
    <w:rsid w:val="001302AE"/>
    <w:rsid w:val="001E12D2"/>
    <w:rsid w:val="00250A9B"/>
    <w:rsid w:val="002B62AB"/>
    <w:rsid w:val="002D40A8"/>
    <w:rsid w:val="00393DC2"/>
    <w:rsid w:val="003B602F"/>
    <w:rsid w:val="003E0D6D"/>
    <w:rsid w:val="003F35B3"/>
    <w:rsid w:val="00410EAF"/>
    <w:rsid w:val="0041377C"/>
    <w:rsid w:val="004277EC"/>
    <w:rsid w:val="00466C7F"/>
    <w:rsid w:val="00522001"/>
    <w:rsid w:val="005311BF"/>
    <w:rsid w:val="00541BCB"/>
    <w:rsid w:val="005D3509"/>
    <w:rsid w:val="005F3EAE"/>
    <w:rsid w:val="00643F0A"/>
    <w:rsid w:val="00691C3A"/>
    <w:rsid w:val="006C3657"/>
    <w:rsid w:val="006D3088"/>
    <w:rsid w:val="00754B0B"/>
    <w:rsid w:val="00770AFA"/>
    <w:rsid w:val="007F2AE0"/>
    <w:rsid w:val="007F4ABB"/>
    <w:rsid w:val="00825CB8"/>
    <w:rsid w:val="0086727B"/>
    <w:rsid w:val="00870941"/>
    <w:rsid w:val="008C1A96"/>
    <w:rsid w:val="009A42AA"/>
    <w:rsid w:val="009C7965"/>
    <w:rsid w:val="00A338B4"/>
    <w:rsid w:val="00A53D20"/>
    <w:rsid w:val="00AD3D15"/>
    <w:rsid w:val="00B345B9"/>
    <w:rsid w:val="00B5304B"/>
    <w:rsid w:val="00B83734"/>
    <w:rsid w:val="00B90661"/>
    <w:rsid w:val="00C0361A"/>
    <w:rsid w:val="00C2530F"/>
    <w:rsid w:val="00C34839"/>
    <w:rsid w:val="00C75863"/>
    <w:rsid w:val="00CD6C2D"/>
    <w:rsid w:val="00CF515C"/>
    <w:rsid w:val="00D4483B"/>
    <w:rsid w:val="00D71B2A"/>
    <w:rsid w:val="00DC168A"/>
    <w:rsid w:val="00DD2C7A"/>
    <w:rsid w:val="00E05817"/>
    <w:rsid w:val="00E12111"/>
    <w:rsid w:val="00E3799D"/>
    <w:rsid w:val="00E76559"/>
    <w:rsid w:val="00E86F60"/>
    <w:rsid w:val="00EB29E7"/>
    <w:rsid w:val="00ED163F"/>
    <w:rsid w:val="00F0338B"/>
    <w:rsid w:val="00F72F03"/>
    <w:rsid w:val="00FA6D19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AD4DA1"/>
  <w15:chartTrackingRefBased/>
  <w15:docId w15:val="{E5899788-AB73-4289-BEDF-017158A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59"/>
    <w:pPr>
      <w:ind w:left="720"/>
      <w:contextualSpacing/>
    </w:pPr>
  </w:style>
  <w:style w:type="table" w:styleId="TableGrid">
    <w:name w:val="Table Grid"/>
    <w:basedOn w:val="TableNormal"/>
    <w:rsid w:val="00E7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6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7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_2"/>
    <w:basedOn w:val="Normal"/>
    <w:rsid w:val="008C1A96"/>
    <w:pPr>
      <w:numPr>
        <w:numId w:val="9"/>
      </w:numPr>
    </w:pPr>
    <w:rPr>
      <w:i/>
      <w:sz w:val="22"/>
      <w:szCs w:val="20"/>
    </w:rPr>
  </w:style>
  <w:style w:type="paragraph" w:styleId="Revision">
    <w:name w:val="Revision"/>
    <w:hidden/>
    <w:uiPriority w:val="99"/>
    <w:semiHidden/>
    <w:rsid w:val="00B8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2CB46-31F3-4E4B-8DAD-7001BBB9D862}">
  <ds:schemaRefs>
    <ds:schemaRef ds:uri="0cdb9d7b-3bdb-4b1c-be50-7737cb6ee7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041abd-9f6c-4283-b183-387e659357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C12824-9B61-43E5-9FF3-003EA5E39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EDC72-A954-4108-ADE6-0F822A12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Ashley Mayo</cp:lastModifiedBy>
  <cp:revision>2</cp:revision>
  <dcterms:created xsi:type="dcterms:W3CDTF">2019-10-16T13:06:00Z</dcterms:created>
  <dcterms:modified xsi:type="dcterms:W3CDTF">2019-10-16T13:06:00Z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